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000000" w:themeColor="text1"/>
          <w:sz w:val="32"/>
          <w:szCs w:val="32"/>
          <w:lang w:bidi="ar"/>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outlineLvl w:val="0"/>
        <w:rPr>
          <w:rFonts w:ascii="方正小标宋简体" w:hAnsi="方正小标宋简体" w:eastAsia="方正小标宋简体" w:cs="方正小标宋简体"/>
          <w:b/>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阿克陶</w:t>
      </w:r>
      <w:r>
        <w:rPr>
          <w:rFonts w:hint="eastAsia" w:ascii="方正小标宋简体" w:hAnsi="方正小标宋简体" w:eastAsia="方正小标宋简体" w:cs="方正小标宋简体"/>
          <w:b/>
          <w:color w:val="000000" w:themeColor="text1"/>
          <w:kern w:val="0"/>
          <w:sz w:val="44"/>
          <w:szCs w:val="44"/>
          <w:lang w:eastAsia="zh-Hans"/>
          <w14:textFill>
            <w14:solidFill>
              <w14:schemeClr w14:val="tx1"/>
            </w14:solidFill>
          </w14:textFill>
        </w:rPr>
        <w:t>县</w:t>
      </w: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部门单位整体支出绩效</w:t>
      </w:r>
    </w:p>
    <w:p>
      <w:pPr>
        <w:spacing w:line="540" w:lineRule="exact"/>
        <w:jc w:val="center"/>
        <w:outlineLvl w:val="0"/>
        <w:rPr>
          <w:rFonts w:ascii="方正小标宋简体" w:hAnsi="方正小标宋简体" w:eastAsia="方正小标宋简体" w:cs="方正小标宋简体"/>
          <w:b/>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b/>
          <w:color w:val="000000" w:themeColor="text1"/>
          <w:kern w:val="0"/>
          <w:sz w:val="44"/>
          <w:szCs w:val="44"/>
          <w14:textFill>
            <w14:solidFill>
              <w14:schemeClr w14:val="tx1"/>
            </w14:solidFill>
          </w14:textFill>
        </w:rPr>
        <w:t>自评报告</w:t>
      </w:r>
    </w:p>
    <w:p>
      <w:pPr>
        <w:spacing w:line="540" w:lineRule="exact"/>
        <w:jc w:val="center"/>
        <w:rPr>
          <w:rFonts w:ascii="仿宋_GB2312" w:hAnsi="仿宋_GB2312" w:eastAsia="仿宋_GB2312" w:cs="仿宋_GB2312"/>
          <w:b/>
          <w:color w:val="000000" w:themeColor="text1"/>
          <w:kern w:val="0"/>
          <w:sz w:val="32"/>
          <w:szCs w:val="32"/>
          <w14:textFill>
            <w14:solidFill>
              <w14:schemeClr w14:val="tx1"/>
            </w14:solidFill>
          </w14:textFill>
        </w:rPr>
      </w:pPr>
    </w:p>
    <w:p>
      <w:pPr>
        <w:spacing w:line="540" w:lineRule="exact"/>
        <w:jc w:val="center"/>
        <w:outlineLvl w:val="0"/>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2021  年度）</w:t>
      </w: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jc w:val="center"/>
        <w:rPr>
          <w:rFonts w:ascii="仿宋_GB2312" w:hAnsi="仿宋_GB2312" w:eastAsia="仿宋_GB2312" w:cs="仿宋_GB2312"/>
          <w:color w:val="000000" w:themeColor="text1"/>
          <w:kern w:val="0"/>
          <w:sz w:val="32"/>
          <w:szCs w:val="32"/>
          <w14:textFill>
            <w14:solidFill>
              <w14:schemeClr w14:val="tx1"/>
            </w14:solidFill>
          </w14:textFill>
        </w:rPr>
      </w:pPr>
    </w:p>
    <w:p>
      <w:pPr>
        <w:spacing w:line="540" w:lineRule="exact"/>
        <w:rPr>
          <w:rFonts w:ascii="仿宋_GB2312" w:hAnsi="仿宋_GB2312" w:eastAsia="仿宋_GB2312" w:cs="仿宋_GB2312"/>
          <w:color w:val="000000" w:themeColor="text1"/>
          <w:kern w:val="0"/>
          <w:sz w:val="32"/>
          <w:szCs w:val="32"/>
          <w14:textFill>
            <w14:solidFill>
              <w14:schemeClr w14:val="tx1"/>
            </w14:solidFill>
          </w14:textFill>
        </w:rPr>
      </w:pPr>
    </w:p>
    <w:p>
      <w:pPr>
        <w:spacing w:line="700" w:lineRule="exact"/>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p>
    <w:p>
      <w:pPr>
        <w:spacing w:line="700" w:lineRule="exact"/>
        <w:ind w:firstLine="640" w:firstLineChars="200"/>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部门单位名称（公章）：阿克陶县交通运输局</w:t>
      </w:r>
    </w:p>
    <w:p>
      <w:pPr>
        <w:spacing w:line="700" w:lineRule="exact"/>
        <w:ind w:firstLine="640" w:firstLineChars="200"/>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填报时间：2022年4月15日</w:t>
      </w:r>
    </w:p>
    <w:p>
      <w:pPr>
        <w:spacing w:line="700" w:lineRule="exact"/>
        <w:jc w:val="left"/>
        <w:rPr>
          <w:rFonts w:ascii="仿宋_GB2312" w:hAnsi="仿宋_GB2312" w:eastAsia="仿宋_GB2312" w:cs="仿宋_GB2312"/>
          <w:color w:val="000000" w:themeColor="text1"/>
          <w:kern w:val="0"/>
          <w:sz w:val="32"/>
          <w:szCs w:val="32"/>
          <w14:textFill>
            <w14:solidFill>
              <w14:schemeClr w14:val="tx1"/>
            </w14:solidFill>
          </w14:textFill>
        </w:rPr>
      </w:pPr>
    </w:p>
    <w:p>
      <w:pPr>
        <w:pStyle w:val="4"/>
      </w:pPr>
    </w:p>
    <w:p>
      <w:pPr>
        <w:pStyle w:val="12"/>
        <w:numPr>
          <w:ilvl w:val="0"/>
          <w:numId w:val="1"/>
        </w:numPr>
        <w:snapToGrid w:val="0"/>
        <w:spacing w:line="540" w:lineRule="exact"/>
        <w:ind w:firstLineChars="0"/>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0" w:name="_Toc23945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基本概况</w:t>
      </w:r>
      <w:bookmarkEnd w:id="0"/>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（一）单位基本情况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1.部门主要职能</w:t>
      </w:r>
    </w:p>
    <w:p>
      <w:pPr>
        <w:ind w:firstLine="56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（一）贯彻执行国家和自治区、克州有关公路交通运输行业的方针、政策、法规，并组织实施和监督检查。</w:t>
      </w:r>
    </w:p>
    <w:p>
      <w:pPr>
        <w:ind w:firstLine="56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（二）拟订全县公路交通运输发展规划；制定公路交通战略规划以及科技、教育中长期计划并组织实施；会同有关部门组织编制我县综合运输体系规划。</w:t>
      </w:r>
    </w:p>
    <w:p>
      <w:pPr>
        <w:ind w:firstLine="56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三）承担道路运输市场监管责任，负责我县公路交通运政综合管理。拟订全县道路运输有关政策、准入制度、技术标准和运营规范并监督实施。指导城乡客运及有关设施规划和管理工作，指导出租汽车行业管理。指导车辆维修、营运车辆综合性能检测、机动车驾驶员培训工作的行业管理。</w:t>
      </w:r>
    </w:p>
    <w:p>
      <w:pPr>
        <w:ind w:firstLine="56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（四）负责提出公路固定资产投资规模和方向；拟订公路有关规费政策并监督实施，会同有关部门制定交通运输行业价格，对涉及财政、土地、价格等方面的问题提出政策建议。</w:t>
      </w:r>
    </w:p>
    <w:p>
      <w:pPr>
        <w:ind w:firstLine="56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五）承担公路建设市场监管责任。拟订全县公路工程建设相关政策、制度和技术标准并监督实施。组织协调公路工程质量、安全生产监督管理工作，指导交通运输基础设施管理和维护，承担有关重要设施的管理和维护。负责管辖范围内公路的建设、养护和管理，负责路政综合管理，依法保护公路路产路权；指导管辖范围内县道、乡道的建设、养护和管理工作。</w:t>
      </w:r>
    </w:p>
    <w:p>
      <w:pPr>
        <w:ind w:firstLine="56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（六）会同有关部门培育和管理交通运输市场和交通基础设施建设市场，维护交通运输行业的平等竞争秩序。</w:t>
      </w:r>
    </w:p>
    <w:p>
      <w:pPr>
        <w:ind w:firstLine="56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（七）指导公路行业安全生产和应急管理工作。按规定组织协调全县重点物资和紧急客货运输，负责全县重点干线路网监测和协调，承担交通战备工作。</w:t>
      </w:r>
    </w:p>
    <w:p>
      <w:pPr>
        <w:ind w:firstLine="56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 xml:space="preserve">（八）贯彻执行交通行业科技政策、技术标准和规范，推动行业科技进步；引导交通运输行业优化结构、协调发展。协同有关部门做好交通运输行业环境保护和节能减排工作。    </w:t>
      </w:r>
    </w:p>
    <w:p>
      <w:pPr>
        <w:ind w:firstLine="56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（九）指导交通运输行业的法制宣传、行政复议、行政应诉、行政执法和监督工作；指导交通运输行业职业教育和培训工作。</w:t>
      </w:r>
    </w:p>
    <w:p>
      <w:pPr>
        <w:ind w:firstLine="56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（十）承办县人民政府交办的其他工作。</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2.部门机构设置及人员构成</w:t>
      </w:r>
    </w:p>
    <w:p>
      <w:pPr>
        <w:ind w:firstLine="56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阿克陶县交通运输局单位无下属预算单位，下设3个处室，分别是：党建办，项目办，客管办。</w:t>
      </w:r>
    </w:p>
    <w:p>
      <w:pPr>
        <w:ind w:firstLine="56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 xml:space="preserve">阿克陶县交通运输局单位编制数19，实有人数31人，其中：在职27人， 退休4人，与上年相比，无增减变化；无离休人员。 </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3.2021年度重点工作</w:t>
      </w:r>
    </w:p>
    <w:p>
      <w:pPr>
        <w:spacing w:line="50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以全面贯彻中央第三次新疆工作会议精神和十九届三中、四中、五中全会精神，抓党建、促发展。一是突出政治建设。坚持把政治建设放在首位，教育引导党员干部进一步树牢“四个意识”、坚定“四个自信”、自觉做到“两个维护”，严守政治纪律和规矩，提升执行能力。二是抓好思想政治建设。强化思想武装，认真学习贯彻落实习近平新时代中国特色社会主义思想和党的十九大精神，努力做到学通、弄懂、做实。三是加强组织建设。贯彻落实《中国共产党支部工作条例</w:t>
      </w:r>
      <w:r>
        <w:rPr>
          <w:rStyle w:val="9"/>
          <w:rFonts w:hint="eastAsia" w:ascii="仿宋_GB2312" w:hAnsi="仿宋_GB2312" w:eastAsia="仿宋_GB2312" w:cs="仿宋_GB2312"/>
          <w:b w:val="0"/>
          <w:color w:val="000000" w:themeColor="text1"/>
          <w:sz w:val="32"/>
          <w:szCs w:val="32"/>
          <w:lang w:eastAsia="zh-CN" w:bidi="ar"/>
          <w14:textFill>
            <w14:solidFill>
              <w14:schemeClr w14:val="tx1"/>
            </w14:solidFill>
          </w14:textFill>
        </w:rPr>
        <w:t>（试行）</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》，继续推进党组织标准化建设，严格落实“三会一课”制度，开展好主题党日活动，严肃党内政治生活；四是继续深化干部作风建设，</w:t>
      </w:r>
      <w:bookmarkStart w:id="8" w:name="_GoBack"/>
      <w:bookmarkEnd w:id="8"/>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认真学习习近平总书记系列</w:t>
      </w:r>
      <w:r>
        <w:rPr>
          <w:rStyle w:val="9"/>
          <w:rFonts w:hint="eastAsia" w:ascii="仿宋_GB2312" w:hAnsi="仿宋_GB2312" w:eastAsia="仿宋_GB2312" w:cs="仿宋_GB2312"/>
          <w:b w:val="0"/>
          <w:color w:val="000000" w:themeColor="text1"/>
          <w:sz w:val="32"/>
          <w:szCs w:val="32"/>
          <w:lang w:eastAsia="zh-CN" w:bidi="ar"/>
          <w14:textFill>
            <w14:solidFill>
              <w14:schemeClr w14:val="tx1"/>
            </w14:solidFill>
          </w14:textFill>
        </w:rPr>
        <w:t>重要</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讲话精神，贯彻落实中央八项规定，坚决反对和整治“四风”、“四气”，持续推进交通扶贫项目领域专项治理活动，以钉钉子的精神将作风建设引向深入；五是认真做好各级党委巡视、检查、督查反馈问题的整改工作。</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（二）决策过程</w:t>
      </w:r>
    </w:p>
    <w:p>
      <w:pPr>
        <w:widowControl/>
        <w:ind w:firstLine="560"/>
        <w:jc w:val="left"/>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决策机制根据行政事业单位内部控制体系建设相关要求，逐步完善《阿克陶县交通运输局会议》、《三重一大会议制度》，根据制度规定；凡涉及到中心改革、发展和稳定关系工作人员切身利益的重大问题，均属于重大事项决策的范围；重要人事任免：后备干部推荐；领导班子工作分工。重要项目安排：大宗办公物资及设备采购等；上级批准的重大或集体考察学习活动项目经费支出。都需进行单位事项决策。</w:t>
      </w:r>
    </w:p>
    <w:p>
      <w:pPr>
        <w:pStyle w:val="12"/>
        <w:numPr>
          <w:ilvl w:val="0"/>
          <w:numId w:val="2"/>
        </w:numPr>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项目资金分配</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1.部门（单位）预算编制及分配依据</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基本支出根据财政部门预算编制的相关文件、通知，实行“二上二下”的基本流程进行预算编制，并根据财政部门预算批复、预期绩效目标进行相应分配；由财政部门按照进度每月分期拨付，人员支出按照工资计划发放工资；资金支出时按照我单位内控体系中设定的流程进行申报审批。</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2.分配结果</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eastAsia="zh-Hans"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预算批复的项目支出属于政府采购的，严格按照《中华人民共和国政府采购法》、自治区财政部门印发的《地方预算单位政府集中采购目录及标准指引（2021年版））》规定及本单位内控制度，组织人员制定并申报采购计划，按批复采购方式进行；属于非政府采购的项目，按照“三重一大”制度规定重大项目支出上党组会研究决定。我单位资金分配与绩效目标一致，符合绩效目标合理性。</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3.重点支出保障率</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本年度</w:t>
      </w:r>
      <w:r>
        <w:rPr>
          <w:rStyle w:val="9"/>
          <w:rFonts w:ascii="仿宋_GB2312" w:hAnsi="仿宋_GB2312" w:eastAsia="仿宋_GB2312" w:cs="仿宋_GB2312"/>
          <w:b w:val="0"/>
          <w:color w:val="000000" w:themeColor="text1"/>
          <w:sz w:val="32"/>
          <w:szCs w:val="32"/>
          <w:lang w:bidi="ar"/>
          <w14:textFill>
            <w14:solidFill>
              <w14:schemeClr w14:val="tx1"/>
            </w14:solidFill>
          </w14:textFill>
        </w:rPr>
        <w:t>2</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个重点项目支出</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我单位本年主要实施</w:t>
      </w:r>
      <w:r>
        <w:rPr>
          <w:rStyle w:val="9"/>
          <w:rFonts w:ascii="仿宋_GB2312" w:hAnsi="仿宋_GB2312" w:eastAsia="仿宋_GB2312" w:cs="仿宋_GB2312"/>
          <w:b w:val="0"/>
          <w:color w:val="000000" w:themeColor="text1"/>
          <w:sz w:val="32"/>
          <w:szCs w:val="32"/>
          <w:lang w:bidi="ar"/>
          <w14:textFill>
            <w14:solidFill>
              <w14:schemeClr w14:val="tx1"/>
            </w14:solidFill>
          </w14:textFill>
        </w:rPr>
        <w:t>2</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个重点项目，履行了公路建设的主要职责。</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本年度预算安排的重点项目支出</w:t>
      </w:r>
      <w:r>
        <w:rPr>
          <w:rStyle w:val="9"/>
          <w:rFonts w:ascii="仿宋_GB2312" w:hAnsi="仿宋_GB2312" w:eastAsia="仿宋_GB2312" w:cs="仿宋_GB2312"/>
          <w:b w:val="0"/>
          <w:color w:val="000000" w:themeColor="text1"/>
          <w:sz w:val="32"/>
          <w:szCs w:val="32"/>
          <w:lang w:bidi="ar"/>
          <w14:textFill>
            <w14:solidFill>
              <w14:schemeClr w14:val="tx1"/>
            </w14:solidFill>
          </w14:textFill>
        </w:rPr>
        <w:t>52.99</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万元，项目总支出</w:t>
      </w:r>
      <w:r>
        <w:rPr>
          <w:rStyle w:val="9"/>
          <w:rFonts w:ascii="仿宋_GB2312" w:hAnsi="仿宋_GB2312" w:eastAsia="仿宋_GB2312" w:cs="仿宋_GB2312"/>
          <w:b w:val="0"/>
          <w:color w:val="000000" w:themeColor="text1"/>
          <w:sz w:val="32"/>
          <w:szCs w:val="32"/>
          <w:lang w:bidi="ar"/>
          <w14:textFill>
            <w14:solidFill>
              <w14:schemeClr w14:val="tx1"/>
            </w14:solidFill>
          </w14:textFill>
        </w:rPr>
        <w:t>52.99</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万元，重点支出保障率为</w:t>
      </w:r>
      <w:r>
        <w:rPr>
          <w:rStyle w:val="9"/>
          <w:rFonts w:ascii="仿宋_GB2312" w:hAnsi="仿宋_GB2312" w:eastAsia="仿宋_GB2312" w:cs="仿宋_GB2312"/>
          <w:b w:val="0"/>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（四）部门单位整体支出规模</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1.预算执行情况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（1）年初预算执行情况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我单位年初预算数为</w:t>
      </w:r>
      <w:r>
        <w:rPr>
          <w:rStyle w:val="9"/>
          <w:rFonts w:ascii="仿宋_GB2312" w:hAnsi="仿宋_GB2312" w:eastAsia="仿宋_GB2312" w:cs="仿宋_GB2312"/>
          <w:b w:val="0"/>
          <w:color w:val="000000" w:themeColor="text1"/>
          <w:sz w:val="32"/>
          <w:szCs w:val="32"/>
          <w:lang w:bidi="ar"/>
          <w14:textFill>
            <w14:solidFill>
              <w14:schemeClr w14:val="tx1"/>
            </w14:solidFill>
          </w14:textFill>
        </w:rPr>
        <w:t>693.21</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万元，实际预算执行数</w:t>
      </w:r>
      <w:r>
        <w:rPr>
          <w:rStyle w:val="9"/>
          <w:rFonts w:ascii="仿宋_GB2312" w:hAnsi="仿宋_GB2312" w:eastAsia="仿宋_GB2312" w:cs="仿宋_GB2312"/>
          <w:b w:val="0"/>
          <w:color w:val="000000" w:themeColor="text1"/>
          <w:sz w:val="32"/>
          <w:szCs w:val="32"/>
          <w:lang w:bidi="ar"/>
          <w14:textFill>
            <w14:solidFill>
              <w14:schemeClr w14:val="tx1"/>
            </w14:solidFill>
          </w14:textFill>
        </w:rPr>
        <w:t>493.21</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万元，预算执行率为</w:t>
      </w:r>
      <w:r>
        <w:rPr>
          <w:rStyle w:val="9"/>
          <w:rFonts w:ascii="仿宋_GB2312" w:hAnsi="仿宋_GB2312" w:eastAsia="仿宋_GB2312" w:cs="仿宋_GB2312"/>
          <w:b w:val="0"/>
          <w:color w:val="000000" w:themeColor="text1"/>
          <w:sz w:val="32"/>
          <w:szCs w:val="32"/>
          <w:lang w:bidi="ar"/>
          <w14:textFill>
            <w14:solidFill>
              <w14:schemeClr w14:val="tx1"/>
            </w14:solidFill>
          </w14:textFill>
        </w:rPr>
        <w:t>71.14</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（2）全年预算执行情况</w:t>
      </w:r>
    </w:p>
    <w:p>
      <w:pPr>
        <w:pStyle w:val="12"/>
        <w:snapToGrid w:val="0"/>
        <w:spacing w:line="540" w:lineRule="exact"/>
        <w:ind w:firstLine="640"/>
        <w:rPr>
          <w:rStyle w:val="9"/>
          <w:rFonts w:ascii="仿宋_GB2312" w:hAnsi="仿宋_GB2312" w:eastAsia="仿宋_GB2312" w:cs="仿宋_GB2312"/>
          <w:b w:val="0"/>
          <w:color w:val="FF0000"/>
          <w:sz w:val="32"/>
          <w:szCs w:val="32"/>
          <w:lang w:bidi="ar"/>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全年预算数为</w:t>
      </w:r>
      <w:r>
        <w:rPr>
          <w:rStyle w:val="9"/>
          <w:rFonts w:ascii="仿宋_GB2312" w:hAnsi="仿宋_GB2312" w:eastAsia="仿宋_GB2312" w:cs="仿宋_GB2312"/>
          <w:b w:val="0"/>
          <w:color w:val="000000" w:themeColor="text1"/>
          <w:sz w:val="32"/>
          <w:szCs w:val="32"/>
          <w:lang w:bidi="ar"/>
          <w14:textFill>
            <w14:solidFill>
              <w14:schemeClr w14:val="tx1"/>
            </w14:solidFill>
          </w14:textFill>
        </w:rPr>
        <w:t>15435.21</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万元，全年实际支出资金</w:t>
      </w:r>
      <w:r>
        <w:rPr>
          <w:rStyle w:val="9"/>
          <w:rFonts w:ascii="仿宋_GB2312" w:hAnsi="仿宋_GB2312" w:eastAsia="仿宋_GB2312" w:cs="仿宋_GB2312"/>
          <w:b w:val="0"/>
          <w:color w:val="000000" w:themeColor="text1"/>
          <w:sz w:val="32"/>
          <w:szCs w:val="32"/>
          <w:lang w:bidi="ar"/>
          <w14:textFill>
            <w14:solidFill>
              <w14:schemeClr w14:val="tx1"/>
            </w14:solidFill>
          </w14:textFill>
        </w:rPr>
        <w:t>12402.54</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万元，预算执行率为</w:t>
      </w:r>
      <w:r>
        <w:rPr>
          <w:rStyle w:val="9"/>
          <w:rFonts w:ascii="仿宋_GB2312" w:hAnsi="仿宋_GB2312" w:eastAsia="仿宋_GB2312" w:cs="仿宋_GB2312"/>
          <w:b w:val="0"/>
          <w:color w:val="000000" w:themeColor="text1"/>
          <w:sz w:val="32"/>
          <w:szCs w:val="32"/>
          <w:lang w:bidi="ar"/>
          <w14:textFill>
            <w14:solidFill>
              <w14:schemeClr w14:val="tx1"/>
            </w14:solidFill>
          </w14:textFill>
        </w:rPr>
        <w:t>80.35</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2.预算调整情况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我单位年初批复预算数</w:t>
      </w:r>
      <w:r>
        <w:rPr>
          <w:rStyle w:val="9"/>
          <w:rFonts w:ascii="仿宋_GB2312" w:hAnsi="仿宋_GB2312" w:eastAsia="仿宋_GB2312" w:cs="仿宋_GB2312"/>
          <w:b w:val="0"/>
          <w:color w:val="000000" w:themeColor="text1"/>
          <w:sz w:val="32"/>
          <w:szCs w:val="32"/>
          <w:lang w:bidi="ar"/>
          <w14:textFill>
            <w14:solidFill>
              <w14:schemeClr w14:val="tx1"/>
            </w14:solidFill>
          </w14:textFill>
        </w:rPr>
        <w:t>693.21</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万元，年中调整数</w:t>
      </w:r>
      <w:r>
        <w:rPr>
          <w:rStyle w:val="9"/>
          <w:rFonts w:ascii="仿宋_GB2312" w:hAnsi="仿宋_GB2312" w:eastAsia="仿宋_GB2312" w:cs="仿宋_GB2312"/>
          <w:b w:val="0"/>
          <w:color w:val="000000" w:themeColor="text1"/>
          <w:sz w:val="32"/>
          <w:szCs w:val="32"/>
          <w:lang w:bidi="ar"/>
          <w14:textFill>
            <w14:solidFill>
              <w14:schemeClr w14:val="tx1"/>
            </w14:solidFill>
          </w14:textFill>
        </w:rPr>
        <w:t>14742</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万元，调整后全年预算数</w:t>
      </w:r>
      <w:r>
        <w:rPr>
          <w:rStyle w:val="9"/>
          <w:rFonts w:ascii="仿宋_GB2312" w:hAnsi="仿宋_GB2312" w:eastAsia="仿宋_GB2312" w:cs="仿宋_GB2312"/>
          <w:b w:val="0"/>
          <w:color w:val="000000" w:themeColor="text1"/>
          <w:sz w:val="32"/>
          <w:szCs w:val="32"/>
          <w:lang w:bidi="ar"/>
          <w14:textFill>
            <w14:solidFill>
              <w14:schemeClr w14:val="tx1"/>
            </w14:solidFill>
          </w14:textFill>
        </w:rPr>
        <w:t>15435.21</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万元，预算调整率</w:t>
      </w:r>
      <w:r>
        <w:rPr>
          <w:rStyle w:val="9"/>
          <w:rFonts w:ascii="仿宋_GB2312" w:hAnsi="仿宋_GB2312" w:eastAsia="仿宋_GB2312" w:cs="仿宋_GB2312"/>
          <w:b w:val="0"/>
          <w:color w:val="000000" w:themeColor="text1"/>
          <w:sz w:val="32"/>
          <w:szCs w:val="32"/>
          <w:lang w:bidi="ar"/>
          <w14:textFill>
            <w14:solidFill>
              <w14:schemeClr w14:val="tx1"/>
            </w14:solidFill>
          </w14:textFill>
        </w:rPr>
        <w:t>2126.62</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 xml:space="preserve">3.政府采购执行情况 </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我单位本年度需政府采购的预算数为0万元。</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（五）评价使用方法和主要内容、涉及范围</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1.评价使用方法</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bookmarkStart w:id="1" w:name="_Hlk49856735"/>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本次评价主要采取比较法和调查法。一是比较法。对项目支出情况及建设后的产出及效果与项目实施计划目标进行比较，分析预计目标的完成程度。二是</w:t>
      </w:r>
      <w:r>
        <w:rPr>
          <w:rStyle w:val="9"/>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公众评判法</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。通过专家评估、公众问卷及抽样调查等方式进行评判的方法。问卷调查是针对项目区利益相关方实施的调查，并对调查结果进行统计、分析和评定。</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2.评价对象及主要内容</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评价的对象及主要内容为:</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一是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部门单位整体管理及使用情况，具体涉及预算管理、基本支出和专项支出的管理及使用情况；</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二是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部门单位整体支出绩效情况，具体涉及部门单位整体支出绩效目标的实现程度，包括是否达到预定产出、效果和效益效率等；</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三是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部门单位专项组织实施情况，具体涉及专项组织情况分析和相关管理情况；</w:t>
      </w: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四是</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资产管理情况，具体涉及资产管理规范性和资产变动情况。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3.涉及的范围</w:t>
      </w:r>
      <w:bookmarkEnd w:id="1"/>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评价范围是对本单位整体支出从年度总体绩效目标、产出指标、效益指标、满意度指标等方面进行了全方位、多角度综合评价分析。</w:t>
      </w:r>
    </w:p>
    <w:p>
      <w:pPr>
        <w:pStyle w:val="12"/>
        <w:numPr>
          <w:ilvl w:val="0"/>
          <w:numId w:val="1"/>
        </w:numPr>
        <w:snapToGrid w:val="0"/>
        <w:spacing w:line="540" w:lineRule="exact"/>
        <w:ind w:firstLineChars="0"/>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2" w:name="_Toc32535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部门单位整体支出管理及使用情况</w:t>
      </w:r>
      <w:bookmarkEnd w:id="2"/>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（一）预算管理情况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1.管理制度健全性</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单位为加强预算管理，规范财务行为，已制定《阿克陶县交通运输局部门单位预算绩效管理工作实施办法》，《阿克陶县交通运输局财务管理制度》等健全完整的各项管理制度，有效保障了我单位高效的履行工作职能，较好的促进事业发展。</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2.资金使用合规性和安全性</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3.预决算信息公开性</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（二）基本支出和使用情况</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1.基本支出和使用情况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2021年本单位基本支出全年预算总额</w:t>
      </w:r>
      <w:r>
        <w:rPr>
          <w:rStyle w:val="9"/>
          <w:rFonts w:ascii="仿宋_GB2312" w:hAnsi="仿宋_GB2312" w:eastAsia="仿宋_GB2312" w:cs="仿宋_GB2312"/>
          <w:b w:val="0"/>
          <w:color w:val="000000" w:themeColor="text1"/>
          <w:sz w:val="32"/>
          <w:szCs w:val="32"/>
          <w:lang w:bidi="ar"/>
          <w14:textFill>
            <w14:solidFill>
              <w14:schemeClr w14:val="tx1"/>
            </w14:solidFill>
          </w14:textFill>
        </w:rPr>
        <w:t>4239.3</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万元，其中：人员经费</w:t>
      </w:r>
      <w:r>
        <w:rPr>
          <w:rFonts w:ascii="仿宋_GB2312" w:hAnsi="宋体" w:eastAsia="仿宋_GB2312" w:cs="宋体"/>
          <w:color w:val="000000" w:themeColor="text1"/>
          <w:kern w:val="0"/>
          <w:sz w:val="32"/>
          <w:szCs w:val="32"/>
          <w14:textFill>
            <w14:solidFill>
              <w14:schemeClr w14:val="tx1"/>
            </w14:solidFill>
          </w14:textFill>
        </w:rPr>
        <w:t>491.9</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万元，公用经费</w:t>
      </w:r>
      <w:r>
        <w:rPr>
          <w:rFonts w:ascii="仿宋_GB2312" w:hAnsi="宋体" w:eastAsia="仿宋_GB2312" w:cs="宋体"/>
          <w:color w:val="000000" w:themeColor="text1"/>
          <w:kern w:val="0"/>
          <w:sz w:val="32"/>
          <w:szCs w:val="32"/>
          <w14:textFill>
            <w14:solidFill>
              <w14:schemeClr w14:val="tx1"/>
            </w14:solidFill>
          </w14:textFill>
        </w:rPr>
        <w:t>3747.4</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万元。实际支出</w:t>
      </w:r>
      <w:r>
        <w:rPr>
          <w:rStyle w:val="9"/>
          <w:rFonts w:ascii="仿宋_GB2312" w:hAnsi="仿宋_GB2312" w:eastAsia="仿宋_GB2312" w:cs="仿宋_GB2312"/>
          <w:b w:val="0"/>
          <w:color w:val="000000" w:themeColor="text1"/>
          <w:sz w:val="32"/>
          <w:szCs w:val="32"/>
          <w:lang w:bidi="ar"/>
          <w14:textFill>
            <w14:solidFill>
              <w14:schemeClr w14:val="tx1"/>
            </w14:solidFill>
          </w14:textFill>
        </w:rPr>
        <w:t>1425.42</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万元，基本支出预算执行率</w:t>
      </w:r>
      <w:r>
        <w:rPr>
          <w:rStyle w:val="9"/>
          <w:rFonts w:ascii="仿宋_GB2312" w:hAnsi="仿宋_GB2312" w:eastAsia="仿宋_GB2312" w:cs="仿宋_GB2312"/>
          <w:b w:val="0"/>
          <w:color w:val="000000" w:themeColor="text1"/>
          <w:sz w:val="32"/>
          <w:szCs w:val="32"/>
          <w:lang w:bidi="ar"/>
          <w14:textFill>
            <w14:solidFill>
              <w14:schemeClr w14:val="tx1"/>
            </w14:solidFill>
          </w14:textFill>
        </w:rPr>
        <w:t>33.6</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2"/>
        <w:snapToGrid w:val="0"/>
        <w:spacing w:line="540" w:lineRule="exact"/>
        <w:ind w:firstLine="640"/>
        <w:rPr>
          <w:rStyle w:val="9"/>
          <w:rFonts w:ascii="仿宋_GB2312" w:hAnsi="仿宋_GB2312" w:eastAsia="仿宋_GB2312" w:cs="仿宋_GB2312"/>
          <w:b w:val="0"/>
          <w:color w:val="000000" w:themeColor="text1"/>
          <w:sz w:val="32"/>
          <w:szCs w:val="32"/>
          <w:highlight w:val="yellow"/>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2"/>
        <w:snapToGrid w:val="0"/>
        <w:spacing w:line="540" w:lineRule="exact"/>
        <w:ind w:firstLine="643"/>
        <w:outlineLvl w:val="2"/>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2.三公经费控制情况</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我单位坚决贯彻落实中央、自治区、阿克陶</w:t>
      </w:r>
      <w:r>
        <w:rPr>
          <w:rFonts w:hint="eastAsia" w:ascii="仿宋" w:hAnsi="仿宋" w:eastAsia="仿宋" w:cs="宋体"/>
          <w:bCs/>
          <w:color w:val="000000" w:themeColor="text1"/>
          <w:sz w:val="32"/>
          <w:szCs w:val="32"/>
          <w:lang w:eastAsia="zh-Hans" w:bidi="ar"/>
          <w14:textFill>
            <w14:solidFill>
              <w14:schemeClr w14:val="tx1"/>
            </w14:solidFill>
          </w14:textFill>
        </w:rPr>
        <w:t>县</w:t>
      </w:r>
      <w:r>
        <w:rPr>
          <w:rFonts w:hint="eastAsia" w:ascii="仿宋" w:hAnsi="仿宋" w:eastAsia="仿宋" w:cs="宋体"/>
          <w:bCs/>
          <w:color w:val="000000" w:themeColor="text1"/>
          <w:sz w:val="32"/>
          <w:szCs w:val="32"/>
          <w:lang w:bidi="ar"/>
          <w14:textFill>
            <w14:solidFill>
              <w14:schemeClr w14:val="tx1"/>
            </w14:solidFill>
          </w14:textFill>
        </w:rPr>
        <w:t>厉行勤俭办公的工作要求，提倡本单位全体干部职工，勤俭节约，切实降低行政运行成本，确保每年“三公经费”只减不增。2021年“三公经费”预算为2.3万元，实际支出2.01万元，“三公经费”控制率为97.81%，其中：因公出国（境）费预算为0万元，实际支出0万元；公务接待费预算为0万元，实际支出0万元；公务用车购置费预算为0万元，实际支出0万元；公务用车运行维护费预算为2.01万元，实际支出2.01万元，公务用车运行维护费控制率97.81%，符合财政部门本年预算要求和相关管理制度要求。</w:t>
      </w:r>
    </w:p>
    <w:p>
      <w:pPr>
        <w:pStyle w:val="12"/>
        <w:snapToGrid w:val="0"/>
        <w:spacing w:line="540" w:lineRule="exact"/>
        <w:ind w:firstLine="643"/>
        <w:outlineLvl w:val="1"/>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（三）专项支出管理和使用情况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专项资金的使用符合国家法规和财务管理制度，专项资金拨付有完整的审批程序和手续，符合项目预算批复或合同规定的用途，不存在截留、挤占、挪用、虚列支出等情况。</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2021年本单位安排专项支出预算总额</w:t>
      </w:r>
      <w:r>
        <w:rPr>
          <w:rStyle w:val="9"/>
          <w:rFonts w:ascii="仿宋_GB2312" w:hAnsi="仿宋_GB2312" w:eastAsia="仿宋_GB2312" w:cs="仿宋_GB2312"/>
          <w:b w:val="0"/>
          <w:color w:val="000000" w:themeColor="text1"/>
          <w:sz w:val="32"/>
          <w:szCs w:val="32"/>
          <w:lang w:bidi="ar"/>
          <w14:textFill>
            <w14:solidFill>
              <w14:schemeClr w14:val="tx1"/>
            </w14:solidFill>
          </w14:textFill>
        </w:rPr>
        <w:t>11331.12</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万元，实际支出</w:t>
      </w:r>
      <w:r>
        <w:rPr>
          <w:rStyle w:val="9"/>
          <w:rFonts w:ascii="仿宋_GB2312" w:hAnsi="仿宋_GB2312" w:eastAsia="仿宋_GB2312" w:cs="仿宋_GB2312"/>
          <w:b w:val="0"/>
          <w:color w:val="000000" w:themeColor="text1"/>
          <w:sz w:val="32"/>
          <w:szCs w:val="32"/>
          <w:lang w:bidi="ar"/>
          <w14:textFill>
            <w14:solidFill>
              <w14:schemeClr w14:val="tx1"/>
            </w14:solidFill>
          </w14:textFill>
        </w:rPr>
        <w:t>10977.11</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万元，专项支出预算执行率</w:t>
      </w:r>
      <w:r>
        <w:rPr>
          <w:rStyle w:val="9"/>
          <w:rFonts w:ascii="仿宋_GB2312" w:hAnsi="仿宋_GB2312" w:eastAsia="仿宋_GB2312" w:cs="仿宋_GB2312"/>
          <w:b w:val="0"/>
          <w:color w:val="000000" w:themeColor="text1"/>
          <w:sz w:val="32"/>
          <w:szCs w:val="32"/>
          <w:lang w:bidi="ar"/>
          <w14:textFill>
            <w14:solidFill>
              <w14:schemeClr w14:val="tx1"/>
            </w14:solidFill>
          </w14:textFill>
        </w:rPr>
        <w:t>96.87</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2021年本单位共有</w:t>
      </w:r>
      <w:r>
        <w:rPr>
          <w:rStyle w:val="9"/>
          <w:rFonts w:ascii="仿宋_GB2312" w:hAnsi="仿宋_GB2312" w:eastAsia="仿宋_GB2312" w:cs="仿宋_GB2312"/>
          <w:b w:val="0"/>
          <w:color w:val="000000" w:themeColor="text1"/>
          <w:sz w:val="32"/>
          <w:szCs w:val="32"/>
          <w:lang w:bidi="ar"/>
          <w14:textFill>
            <w14:solidFill>
              <w14:schemeClr w14:val="tx1"/>
            </w14:solidFill>
          </w14:textFill>
        </w:rPr>
        <w:t>14</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个资金项目，其中1个属经常性项目、</w:t>
      </w:r>
      <w:r>
        <w:rPr>
          <w:rStyle w:val="9"/>
          <w:rFonts w:ascii="仿宋_GB2312" w:hAnsi="仿宋_GB2312" w:eastAsia="仿宋_GB2312" w:cs="仿宋_GB2312"/>
          <w:b w:val="0"/>
          <w:color w:val="000000" w:themeColor="text1"/>
          <w:sz w:val="32"/>
          <w:szCs w:val="32"/>
          <w:lang w:bidi="ar"/>
          <w14:textFill>
            <w14:solidFill>
              <w14:schemeClr w14:val="tx1"/>
            </w14:solidFill>
          </w14:textFill>
        </w:rPr>
        <w:t>13</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个属当年度新增项目，已完成项目</w:t>
      </w:r>
      <w:r>
        <w:rPr>
          <w:rStyle w:val="9"/>
          <w:rFonts w:ascii="仿宋_GB2312" w:hAnsi="仿宋_GB2312" w:eastAsia="仿宋_GB2312" w:cs="仿宋_GB2312"/>
          <w:b w:val="0"/>
          <w:color w:val="000000" w:themeColor="text1"/>
          <w:sz w:val="32"/>
          <w:szCs w:val="32"/>
          <w:lang w:bidi="ar"/>
          <w14:textFill>
            <w14:solidFill>
              <w14:schemeClr w14:val="tx1"/>
            </w14:solidFill>
          </w14:textFill>
        </w:rPr>
        <w:t>14</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个、未完成项目</w:t>
      </w:r>
      <w:r>
        <w:rPr>
          <w:rStyle w:val="9"/>
          <w:rFonts w:ascii="仿宋_GB2312" w:hAnsi="仿宋_GB2312" w:eastAsia="仿宋_GB2312" w:cs="仿宋_GB2312"/>
          <w:b w:val="0"/>
          <w:color w:val="000000" w:themeColor="text1"/>
          <w:sz w:val="32"/>
          <w:szCs w:val="32"/>
          <w:lang w:bidi="ar"/>
          <w14:textFill>
            <w14:solidFill>
              <w14:schemeClr w14:val="tx1"/>
            </w14:solidFill>
          </w14:textFill>
        </w:rPr>
        <w:t>0</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个。</w:t>
      </w:r>
    </w:p>
    <w:p>
      <w:pPr>
        <w:snapToGrid w:val="0"/>
        <w:spacing w:line="540" w:lineRule="exact"/>
        <w:ind w:left="648"/>
        <w:outlineLvl w:val="0"/>
        <w:rPr>
          <w:rFonts w:ascii="仿宋_GB2312" w:hAnsi="仿宋_GB2312" w:eastAsia="仿宋_GB2312" w:cs="仿宋_GB2312"/>
          <w:b/>
          <w:color w:val="000000" w:themeColor="text1"/>
          <w:sz w:val="32"/>
          <w:szCs w:val="32"/>
          <w:lang w:bidi="ar"/>
          <w14:textFill>
            <w14:solidFill>
              <w14:schemeClr w14:val="tx1"/>
            </w14:solidFill>
          </w14:textFill>
        </w:rPr>
      </w:pPr>
      <w:bookmarkStart w:id="3" w:name="_Toc1734_WPSOffice_Level1"/>
      <w:r>
        <w:rPr>
          <w:rFonts w:hint="eastAsia" w:ascii="仿宋_GB2312" w:hAnsi="仿宋_GB2312" w:eastAsia="仿宋_GB2312" w:cs="仿宋_GB2312"/>
          <w:b/>
          <w:color w:val="000000" w:themeColor="text1"/>
          <w:sz w:val="32"/>
          <w:szCs w:val="32"/>
          <w:lang w:bidi="ar"/>
          <w14:textFill>
            <w14:solidFill>
              <w14:schemeClr w14:val="tx1"/>
            </w14:solidFill>
          </w14:textFill>
        </w:rPr>
        <w:t>三、部门单位专项组织实施情况</w:t>
      </w:r>
      <w:bookmarkEnd w:id="3"/>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本年我单位实施专项项目</w:t>
      </w:r>
      <w:r>
        <w:rPr>
          <w:rStyle w:val="9"/>
          <w:rFonts w:ascii="仿宋_GB2312" w:hAnsi="仿宋_GB2312" w:eastAsia="仿宋_GB2312" w:cs="仿宋_GB2312"/>
          <w:b w:val="0"/>
          <w:color w:val="000000" w:themeColor="text1"/>
          <w:sz w:val="32"/>
          <w:szCs w:val="32"/>
          <w:lang w:bidi="ar"/>
          <w14:textFill>
            <w14:solidFill>
              <w14:schemeClr w14:val="tx1"/>
            </w14:solidFill>
          </w14:textFill>
        </w:rPr>
        <w:t>14</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个，涉及金额</w:t>
      </w:r>
      <w:r>
        <w:rPr>
          <w:rStyle w:val="9"/>
          <w:rFonts w:ascii="仿宋_GB2312" w:hAnsi="仿宋_GB2312" w:eastAsia="仿宋_GB2312" w:cs="仿宋_GB2312"/>
          <w:b w:val="0"/>
          <w:color w:val="000000" w:themeColor="text1"/>
          <w:sz w:val="32"/>
          <w:szCs w:val="32"/>
          <w:lang w:bidi="ar"/>
          <w14:textFill>
            <w14:solidFill>
              <w14:schemeClr w14:val="tx1"/>
            </w14:solidFill>
          </w14:textFill>
        </w:rPr>
        <w:t>10977.11</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万元，其中：中央专项项目</w:t>
      </w:r>
      <w:r>
        <w:rPr>
          <w:rStyle w:val="9"/>
          <w:rFonts w:ascii="仿宋_GB2312" w:hAnsi="仿宋_GB2312" w:eastAsia="仿宋_GB2312" w:cs="仿宋_GB2312"/>
          <w:b w:val="0"/>
          <w:color w:val="000000" w:themeColor="text1"/>
          <w:sz w:val="32"/>
          <w:szCs w:val="32"/>
          <w:lang w:bidi="ar"/>
          <w14:textFill>
            <w14:solidFill>
              <w14:schemeClr w14:val="tx1"/>
            </w14:solidFill>
          </w14:textFill>
        </w:rPr>
        <w:t>2</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个涉及金额</w:t>
      </w:r>
      <w:r>
        <w:rPr>
          <w:rStyle w:val="9"/>
          <w:rFonts w:ascii="仿宋_GB2312" w:hAnsi="仿宋_GB2312" w:eastAsia="仿宋_GB2312" w:cs="仿宋_GB2312"/>
          <w:b w:val="0"/>
          <w:color w:val="000000" w:themeColor="text1"/>
          <w:sz w:val="32"/>
          <w:szCs w:val="32"/>
          <w:lang w:bidi="ar"/>
          <w14:textFill>
            <w14:solidFill>
              <w14:schemeClr w14:val="tx1"/>
            </w14:solidFill>
          </w14:textFill>
        </w:rPr>
        <w:t>1731.06</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万元，自治区专项项目</w:t>
      </w:r>
      <w:r>
        <w:rPr>
          <w:rStyle w:val="9"/>
          <w:rFonts w:ascii="仿宋_GB2312" w:hAnsi="仿宋_GB2312" w:eastAsia="仿宋_GB2312" w:cs="仿宋_GB2312"/>
          <w:b w:val="0"/>
          <w:color w:val="000000" w:themeColor="text1"/>
          <w:sz w:val="32"/>
          <w:szCs w:val="32"/>
          <w:lang w:bidi="ar"/>
          <w14:textFill>
            <w14:solidFill>
              <w14:schemeClr w14:val="tx1"/>
            </w14:solidFill>
          </w14:textFill>
        </w:rPr>
        <w:t>5</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个涉及金额</w:t>
      </w:r>
      <w:r>
        <w:rPr>
          <w:rStyle w:val="9"/>
          <w:rFonts w:ascii="仿宋_GB2312" w:hAnsi="仿宋_GB2312" w:eastAsia="仿宋_GB2312" w:cs="仿宋_GB2312"/>
          <w:b w:val="0"/>
          <w:color w:val="000000" w:themeColor="text1"/>
          <w:sz w:val="32"/>
          <w:szCs w:val="32"/>
          <w:lang w:bidi="ar"/>
          <w14:textFill>
            <w14:solidFill>
              <w14:schemeClr w14:val="tx1"/>
            </w14:solidFill>
          </w14:textFill>
        </w:rPr>
        <w:t>8914.84</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万元，地区本级专项项目</w:t>
      </w:r>
      <w:r>
        <w:rPr>
          <w:rStyle w:val="9"/>
          <w:rFonts w:ascii="仿宋_GB2312" w:hAnsi="仿宋_GB2312" w:eastAsia="仿宋_GB2312" w:cs="仿宋_GB2312"/>
          <w:b w:val="0"/>
          <w:color w:val="000000" w:themeColor="text1"/>
          <w:sz w:val="32"/>
          <w:szCs w:val="32"/>
          <w:lang w:bidi="ar"/>
          <w14:textFill>
            <w14:solidFill>
              <w14:schemeClr w14:val="tx1"/>
            </w14:solidFill>
          </w14:textFill>
        </w:rPr>
        <w:t>7</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个涉及金额</w:t>
      </w:r>
      <w:r>
        <w:rPr>
          <w:rStyle w:val="9"/>
          <w:rFonts w:ascii="仿宋_GB2312" w:hAnsi="仿宋_GB2312" w:eastAsia="仿宋_GB2312" w:cs="仿宋_GB2312"/>
          <w:b w:val="0"/>
          <w:color w:val="000000" w:themeColor="text1"/>
          <w:sz w:val="32"/>
          <w:szCs w:val="32"/>
          <w:lang w:bidi="ar"/>
          <w14:textFill>
            <w14:solidFill>
              <w14:schemeClr w14:val="tx1"/>
            </w14:solidFill>
          </w14:textFill>
        </w:rPr>
        <w:t>331.21</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万元，</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Cs w:val="0"/>
          <w:color w:val="000000" w:themeColor="text1"/>
          <w:spacing w:val="-4"/>
          <w:sz w:val="32"/>
          <w:szCs w:val="32"/>
          <w14:textFill>
            <w14:solidFill>
              <w14:schemeClr w14:val="tx1"/>
            </w14:solidFill>
          </w14:textFill>
        </w:rPr>
        <w:t>（一）项目专项组织情况分析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1.前期准备</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我单位成立专项支出绩效评价小组，成员如下：</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米尔扎马木提任评价组组长，绩效评价工作职责为负责全盘工作。</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唐喜禄任评价组副组长，绩效评价工作职责为为对项目实施情况进行实地调查。</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王录定，张中龙，李桃健，吐尼沙姑，连芳芳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2.组织实施</w:t>
      </w:r>
    </w:p>
    <w:p>
      <w:pPr>
        <w:pStyle w:val="12"/>
        <w:snapToGrid w:val="0"/>
        <w:spacing w:line="540" w:lineRule="exact"/>
        <w:ind w:firstLine="640"/>
        <w:rPr>
          <w:rStyle w:val="9"/>
          <w:rFonts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43"/>
        <w:rPr>
          <w:rStyle w:val="9"/>
          <w:rFonts w:ascii="仿宋_GB2312" w:hAnsi="仿宋_GB2312" w:eastAsia="仿宋_GB2312" w:cs="仿宋_GB2312"/>
          <w:bCs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Cs w:val="0"/>
          <w:color w:val="000000" w:themeColor="text1"/>
          <w:sz w:val="32"/>
          <w:szCs w:val="32"/>
          <w:lang w:bidi="ar"/>
          <w14:textFill>
            <w14:solidFill>
              <w14:schemeClr w14:val="tx1"/>
            </w14:solidFill>
          </w14:textFill>
        </w:rPr>
        <w:t>3项目情况</w:t>
      </w:r>
    </w:p>
    <w:p>
      <w:pPr>
        <w:pStyle w:val="12"/>
        <w:snapToGrid w:val="0"/>
        <w:spacing w:line="540" w:lineRule="exact"/>
        <w:ind w:firstLine="640"/>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pP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2</w:t>
      </w:r>
      <w:r>
        <w:rPr>
          <w:rStyle w:val="9"/>
          <w:rFonts w:ascii="仿宋_GB2312" w:hAnsi="仿宋_GB2312" w:eastAsia="仿宋_GB2312" w:cs="仿宋_GB2312"/>
          <w:b w:val="0"/>
          <w:color w:val="000000" w:themeColor="text1"/>
          <w:sz w:val="32"/>
          <w:szCs w:val="32"/>
          <w:lang w:bidi="ar"/>
          <w14:textFill>
            <w14:solidFill>
              <w14:schemeClr w14:val="tx1"/>
            </w14:solidFill>
          </w14:textFill>
        </w:rPr>
        <w:t>021</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年单位共实施1</w:t>
      </w:r>
      <w:r>
        <w:rPr>
          <w:rStyle w:val="9"/>
          <w:rFonts w:ascii="仿宋_GB2312" w:hAnsi="仿宋_GB2312" w:eastAsia="仿宋_GB2312" w:cs="仿宋_GB2312"/>
          <w:b w:val="0"/>
          <w:color w:val="000000" w:themeColor="text1"/>
          <w:sz w:val="32"/>
          <w:szCs w:val="32"/>
          <w:lang w:bidi="ar"/>
          <w14:textFill>
            <w14:solidFill>
              <w14:schemeClr w14:val="tx1"/>
            </w14:solidFill>
          </w14:textFill>
        </w:rPr>
        <w:t>4</w:t>
      </w:r>
      <w:r>
        <w:rPr>
          <w:rStyle w:val="9"/>
          <w:rFonts w:hint="eastAsia" w:ascii="仿宋_GB2312" w:hAnsi="仿宋_GB2312" w:eastAsia="仿宋_GB2312" w:cs="仿宋_GB2312"/>
          <w:b w:val="0"/>
          <w:color w:val="000000" w:themeColor="text1"/>
          <w:sz w:val="32"/>
          <w:szCs w:val="32"/>
          <w:lang w:bidi="ar"/>
          <w14:textFill>
            <w14:solidFill>
              <w14:schemeClr w14:val="tx1"/>
            </w14:solidFill>
          </w14:textFill>
        </w:rPr>
        <w:t>个项目，分别为公交站防撞栏等安全设施安装建设项目，阿克陶县光明路水渠改造项目，水土补偿费，江西二大道工程项目建设用地等一批建设用地在内的9块土地耕地占用税及滞纳金，2021年村级道路建设项目，2021年深度贫困县农村道路管护人员补助资金，林业行政处罚金，2018年巡逻路工程项目占用林地手续费用，昆仑佳苑至阿克陶县易地扶贫搬迁公路项目植被恢复费，自治区城乡道路客运成品油价格补助资金，农村客运等行业成品油价格改革财政补贴资金，2019年车辆购置税收入补助地方用于底边村自然村通硬化路项目，2020年车辆购置税收入补助地方用于一般公路建设项目，2020年扶持人口较少民族发展专项中央基建投资预算，访惠聚工作经费。以上项目均已完成。</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（二）专项管理情况分析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1.项目资金情况</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该项目预算资金</w:t>
      </w:r>
      <w:r>
        <w:rPr>
          <w:rStyle w:val="9"/>
          <w:rFonts w:ascii="仿宋_GB2312" w:hAnsi="仿宋_GB2312" w:eastAsia="仿宋_GB2312" w:cs="仿宋_GB2312"/>
          <w:b w:val="0"/>
          <w:color w:val="000000" w:themeColor="text1"/>
          <w:sz w:val="32"/>
          <w:szCs w:val="32"/>
          <w:lang w:bidi="ar"/>
          <w14:textFill>
            <w14:solidFill>
              <w14:schemeClr w14:val="tx1"/>
            </w14:solidFill>
          </w14:textFill>
        </w:rPr>
        <w:t>11331.12</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万元，实际到位</w:t>
      </w:r>
      <w:r>
        <w:rPr>
          <w:rStyle w:val="9"/>
          <w:rFonts w:ascii="仿宋_GB2312" w:hAnsi="仿宋_GB2312" w:eastAsia="仿宋_GB2312" w:cs="仿宋_GB2312"/>
          <w:b w:val="0"/>
          <w:color w:val="000000" w:themeColor="text1"/>
          <w:sz w:val="32"/>
          <w:szCs w:val="32"/>
          <w:lang w:bidi="ar"/>
          <w14:textFill>
            <w14:solidFill>
              <w14:schemeClr w14:val="tx1"/>
            </w14:solidFill>
          </w14:textFill>
        </w:rPr>
        <w:t>11331.12</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万元，实际支出</w:t>
      </w:r>
      <w:r>
        <w:rPr>
          <w:rStyle w:val="9"/>
          <w:rFonts w:ascii="仿宋_GB2312" w:hAnsi="仿宋_GB2312" w:eastAsia="仿宋_GB2312" w:cs="仿宋_GB2312"/>
          <w:b w:val="0"/>
          <w:color w:val="000000" w:themeColor="text1"/>
          <w:sz w:val="32"/>
          <w:szCs w:val="32"/>
          <w:lang w:bidi="ar"/>
          <w14:textFill>
            <w14:solidFill>
              <w14:schemeClr w14:val="tx1"/>
            </w14:solidFill>
          </w14:textFill>
        </w:rPr>
        <w:t>10977.11</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万元。到位足额不及时，预算编制依据充分，预算编制准确，资金不存在截留、挪用，支付审批合规、不存在用途改变、范围超支和虚列项目支出等情况；本项目严格按照《阿克陶县交通运输局财务管理制度》执行项目资金，实行专账核算、逐级审批。认真落实项目资金的使用各项管理制度，确保专款专用，及时拨付到位。</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2.项目实施情况</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项目组织情况：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项目管理情况：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根据《项目绩效管理办法》及单位相关项目管理制度的规定，对项目的实施进行监督管理。建立健全项目后续各项监督管理制度，确保项目正常运转，长期发挥效益。</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项目监管情况：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不定期对项目进度和质量等进行监督检查，并且组织开展多种形式的监督检查，以加强日常监管为主，自查、随机抽查、专项检查等方式进行。对检查中发现的问题，及时纠正。</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3.项目绩效情况</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成本控制情况：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严格按照相关的专项资金管理办法，实行多重审批控制专项经费的支出。</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成本节约情况：</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项目根据实际情况做出合理预算，支出严格控制在预算范围内，本着节约成本，防止资源浪费的原则将项目成效最大化。</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4.项目效率性</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项目实施进度：</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项目实施紧扣各个环节，逐步推进，及时与职能部门跟踪项目进展，加强项目督办，充分调动职能部门的积极性，加大项目投入工作的力度，加快项目实施进度。</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项目完成质量：</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项目严格按照年度预期目标执行，项目完成质量达标。</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5.项目效益性</w:t>
      </w:r>
    </w:p>
    <w:p>
      <w:pPr>
        <w:pStyle w:val="12"/>
        <w:snapToGrid w:val="0"/>
        <w:spacing w:line="540" w:lineRule="exact"/>
        <w:ind w:firstLine="627"/>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预期目标完成程度：</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按预定目标完成了年初所设定的各项指标。专项经费实际支出未超出预算规定，保障了专项工作的开展。</w:t>
      </w:r>
    </w:p>
    <w:p>
      <w:pPr>
        <w:pStyle w:val="12"/>
        <w:snapToGrid w:val="0"/>
        <w:spacing w:line="540" w:lineRule="exact"/>
        <w:ind w:left="319" w:leftChars="152" w:firstLine="313" w:firstLineChars="1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项目实施对效益的影响：</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项目的实施有效提升了培训人员的爱国主义意识，持续保障了培训工作的顺利开展。</w:t>
      </w:r>
    </w:p>
    <w:p>
      <w:pPr>
        <w:pStyle w:val="12"/>
        <w:numPr>
          <w:ilvl w:val="0"/>
          <w:numId w:val="3"/>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4" w:name="_Toc27846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资产管理情况</w:t>
      </w:r>
      <w:bookmarkEnd w:id="4"/>
    </w:p>
    <w:p>
      <w:pPr>
        <w:pStyle w:val="12"/>
        <w:tabs>
          <w:tab w:val="left" w:pos="0"/>
        </w:tabs>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（一）资产管理规范性</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我单位2021年资产合计数为22491万元，比上年减少11340.98万元，主要原因是项目完工减少在建工程，导致资产增加；其中：货币资金5107.87万元，比上年减少5151.58万元；财政应返还额度0万元，比上年相比无变化；房屋42.30平方米278.2万元，比上年减少796.85万元；车辆3辆47.58万元，与上年相比减少1辆车，价格3.15万元；在建工程12342.19万元，与上年相比增加；办公设备及家具130.5万元，与上年相比有变化。我单位本年有资产处置情况报废一辆车，资产配置合理，使用规范，安全完整。</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1.资产管理情况。</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2.固定资产利用情况。</w:t>
      </w:r>
    </w:p>
    <w:p>
      <w:pPr>
        <w:pStyle w:val="12"/>
        <w:snapToGrid w:val="0"/>
        <w:spacing w:line="540" w:lineRule="exact"/>
        <w:ind w:firstLine="640"/>
        <w:rPr>
          <w:rFonts w:ascii="仿宋" w:hAnsi="仿宋" w:eastAsia="仿宋" w:cs="宋体"/>
          <w:bCs/>
          <w:color w:val="000000" w:themeColor="text1"/>
          <w:sz w:val="32"/>
          <w:szCs w:val="32"/>
          <w:lang w:bidi="ar"/>
          <w14:textFill>
            <w14:solidFill>
              <w14:schemeClr w14:val="tx1"/>
            </w14:solidFill>
          </w14:textFill>
        </w:rPr>
      </w:pPr>
      <w:r>
        <w:rPr>
          <w:rFonts w:hint="eastAsia" w:ascii="仿宋" w:hAnsi="仿宋" w:eastAsia="仿宋" w:cs="宋体"/>
          <w:bCs/>
          <w:color w:val="000000" w:themeColor="text1"/>
          <w:sz w:val="32"/>
          <w:szCs w:val="32"/>
          <w:lang w:bidi="ar"/>
          <w14:textFill>
            <w14:solidFill>
              <w14:schemeClr w14:val="tx1"/>
            </w14:solidFill>
          </w14:textFill>
        </w:rPr>
        <w:t>我单位固定资产173.87万元,其中:2套房屋42.30万元，3辆车47.58万元，10个专用设备1.06万元，298个办公设备82.93万元。目前正在使用的固定资产总额173.87万元，固定资产利用率为100%。</w:t>
      </w:r>
    </w:p>
    <w:p>
      <w:pPr>
        <w:pStyle w:val="12"/>
        <w:snapToGrid w:val="0"/>
        <w:spacing w:line="540" w:lineRule="exact"/>
        <w:ind w:firstLine="624"/>
        <w:rPr>
          <w:rStyle w:val="9"/>
          <w:rFonts w:ascii="仿宋" w:hAnsi="仿宋" w:eastAsia="仿宋"/>
          <w:b w:val="0"/>
          <w:bCs w:val="0"/>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3.流动资产管理情况。</w:t>
      </w:r>
    </w:p>
    <w:p>
      <w:pPr>
        <w:pStyle w:val="12"/>
        <w:snapToGrid w:val="0"/>
        <w:spacing w:line="540" w:lineRule="exact"/>
        <w:ind w:firstLine="624"/>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2"/>
        <w:tabs>
          <w:tab w:val="left" w:pos="0"/>
        </w:tabs>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（二）固定资产利用率</w:t>
      </w:r>
    </w:p>
    <w:p>
      <w:pPr>
        <w:pStyle w:val="12"/>
        <w:tabs>
          <w:tab w:val="left" w:pos="0"/>
        </w:tabs>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截止本年度固定资产账面净值21.68万元，年末实际在用固定资产173.87万元，固定资产利用率为12.47%。</w:t>
      </w:r>
    </w:p>
    <w:p>
      <w:pPr>
        <w:pStyle w:val="12"/>
        <w:numPr>
          <w:ilvl w:val="0"/>
          <w:numId w:val="3"/>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5" w:name="_Toc13582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部门单位整体支出绩效情况</w:t>
      </w:r>
      <w:bookmarkEnd w:id="5"/>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部门单位整体支出自评表，共设置一级指标3个，二级指标</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7</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个，三级指标1</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1</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（一）产出指标完成情况分析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1.产出数量</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保障人员人数指标，预期指标是等于</w:t>
      </w:r>
      <w:r>
        <w:rPr>
          <w:rFonts w:hint="eastAsia" w:ascii="仿宋" w:hAnsi="仿宋" w:eastAsia="仿宋" w:cs="宋体"/>
          <w:bCs/>
          <w:color w:val="000000" w:themeColor="text1"/>
          <w:sz w:val="32"/>
          <w:szCs w:val="32"/>
          <w:lang w:bidi="ar"/>
          <w14:textFill>
            <w14:solidFill>
              <w14:schemeClr w14:val="tx1"/>
            </w14:solidFill>
          </w14:textFill>
        </w:rPr>
        <w:t>27</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人，实际完成值是</w:t>
      </w:r>
      <w:r>
        <w:rPr>
          <w:rFonts w:hint="eastAsia" w:ascii="仿宋" w:hAnsi="仿宋" w:eastAsia="仿宋" w:cs="宋体"/>
          <w:bCs/>
          <w:color w:val="000000" w:themeColor="text1"/>
          <w:sz w:val="32"/>
          <w:szCs w:val="32"/>
          <w:lang w:bidi="ar"/>
          <w14:textFill>
            <w14:solidFill>
              <w14:schemeClr w14:val="tx1"/>
            </w14:solidFill>
          </w14:textFill>
        </w:rPr>
        <w:t>27</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人，指标完成率是</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保障公路养护和管理次数指标，预期指标等于20次，实际完成值是20次，指标完成率是100%，达到预期目标。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数量指标共计</w:t>
      </w:r>
      <w:r>
        <w:rPr>
          <w:rFonts w:hint="eastAsia" w:ascii="仿宋" w:hAnsi="仿宋" w:eastAsia="仿宋" w:cs="宋体"/>
          <w:bCs/>
          <w:color w:val="000000" w:themeColor="text1"/>
          <w:sz w:val="32"/>
          <w:szCs w:val="32"/>
          <w:lang w:bidi="ar"/>
          <w14:textFill>
            <w14:solidFill>
              <w14:schemeClr w14:val="tx1"/>
            </w14:solidFill>
          </w14:textFill>
        </w:rPr>
        <w:t>2</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个，完成</w:t>
      </w:r>
      <w:r>
        <w:rPr>
          <w:rFonts w:hint="eastAsia" w:ascii="仿宋" w:hAnsi="仿宋" w:eastAsia="仿宋" w:cs="宋体"/>
          <w:bCs/>
          <w:color w:val="000000" w:themeColor="text1"/>
          <w:sz w:val="32"/>
          <w:szCs w:val="32"/>
          <w:lang w:bidi="ar"/>
          <w14:textFill>
            <w14:solidFill>
              <w14:schemeClr w14:val="tx1"/>
            </w14:solidFill>
          </w14:textFill>
        </w:rPr>
        <w:t>2</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个，达到预期目标，数量指标完成。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2.产出质量</w:t>
      </w:r>
    </w:p>
    <w:p>
      <w:pPr>
        <w:pStyle w:val="17"/>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资金使用合格率（%），预期指标是等于</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%，实际完成值是</w:t>
      </w:r>
      <w:r>
        <w:rPr>
          <w:rFonts w:hint="eastAsia" w:ascii="仿宋" w:hAnsi="仿宋" w:eastAsia="仿宋" w:cs="宋体"/>
          <w:bCs/>
          <w:color w:val="000000" w:themeColor="text1"/>
          <w:sz w:val="32"/>
          <w:szCs w:val="32"/>
          <w:lang w:bidi="ar"/>
          <w14:textFill>
            <w14:solidFill>
              <w14:schemeClr w14:val="tx1"/>
            </w14:solidFill>
          </w14:textFill>
        </w:rPr>
        <w:t>100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%。指标完成率是100%，达到质量提升及标准。</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质量指标共计</w:t>
      </w:r>
      <w:r>
        <w:rPr>
          <w:rFonts w:hint="eastAsia" w:ascii="仿宋" w:hAnsi="仿宋" w:eastAsia="仿宋" w:cs="宋体"/>
          <w:bCs/>
          <w:color w:val="000000" w:themeColor="text1"/>
          <w:sz w:val="32"/>
          <w:szCs w:val="32"/>
          <w:lang w:bidi="ar"/>
          <w14:textFill>
            <w14:solidFill>
              <w14:schemeClr w14:val="tx1"/>
            </w14:solidFill>
          </w14:textFill>
        </w:rPr>
        <w:t>1</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个，完成</w:t>
      </w:r>
      <w:r>
        <w:rPr>
          <w:rFonts w:hint="eastAsia" w:ascii="仿宋" w:hAnsi="仿宋" w:eastAsia="仿宋" w:cs="宋体"/>
          <w:bCs/>
          <w:color w:val="000000" w:themeColor="text1"/>
          <w:sz w:val="32"/>
          <w:szCs w:val="32"/>
          <w:lang w:bidi="ar"/>
          <w14:textFill>
            <w14:solidFill>
              <w14:schemeClr w14:val="tx1"/>
            </w14:solidFill>
          </w14:textFill>
        </w:rPr>
        <w:t>1</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个，达到质量提升及标准。质量指标完成。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3.产出进度</w:t>
      </w:r>
    </w:p>
    <w:p>
      <w:pPr>
        <w:pStyle w:val="17"/>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资金拨付及时率指标，预期指标是等于100%，实际完成值是100%，指标完成率是100%，达到预期目标。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时效指标共计</w:t>
      </w:r>
      <w:r>
        <w:rPr>
          <w:rFonts w:hint="eastAsia" w:ascii="仿宋" w:hAnsi="仿宋" w:eastAsia="仿宋" w:cs="宋体"/>
          <w:bCs/>
          <w:color w:val="000000" w:themeColor="text1"/>
          <w:sz w:val="32"/>
          <w:szCs w:val="32"/>
          <w:lang w:bidi="ar"/>
          <w14:textFill>
            <w14:solidFill>
              <w14:schemeClr w14:val="tx1"/>
            </w14:solidFill>
          </w14:textFill>
        </w:rPr>
        <w:t>1</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个，完成</w:t>
      </w:r>
      <w:r>
        <w:rPr>
          <w:rFonts w:hint="eastAsia" w:ascii="仿宋" w:hAnsi="仿宋" w:eastAsia="仿宋" w:cs="宋体"/>
          <w:bCs/>
          <w:color w:val="000000" w:themeColor="text1"/>
          <w:sz w:val="32"/>
          <w:szCs w:val="32"/>
          <w:lang w:bidi="ar"/>
          <w14:textFill>
            <w14:solidFill>
              <w14:schemeClr w14:val="tx1"/>
            </w14:solidFill>
          </w14:textFill>
        </w:rPr>
        <w:t>1</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个，达到预期目标，数量指标完成。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4.产出成本</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人员经费（万元）指标，预期指标是等于490.09万元，实际完成值是490.09万元，指标完成率是100%，达到成本控制及改善目标。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公用经费（万元/年）指标，预期指标是等于3.12万元，实际完成值是3.12万元，指标完成率是100%，达到成本控制及改善目标。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项目支出（万元）指标，预期指标是等于200万元，实际完成值是</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万元，指标完成率是</w:t>
      </w:r>
      <w:r>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t>0</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%，达到成本控制及改善目标。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成本指标共计3个，完成3个，达到成本控制及改善目标，成本指标完成。</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（二）效益指标完成情况分析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1.项目实施的经济效益分析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无。</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2.项目实施的社会效益分析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业务保障能力提升指标，预期指标是有效提升，实际完成值是有效提升，指标完成率是100%，达到单位履职能力对社会带来的影响预期目标。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社会效益指标共计1个，完成1个，达到单位履职能力对社会带来的影响预期目标，社会效益指标完成。</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3.项目实施的生态效益分析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无。</w:t>
      </w:r>
    </w:p>
    <w:p>
      <w:pPr>
        <w:pStyle w:val="12"/>
        <w:snapToGrid w:val="0"/>
        <w:spacing w:line="540" w:lineRule="exact"/>
        <w:ind w:firstLine="627"/>
        <w:outlineLvl w:val="2"/>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4.项目实施的可持续影响分析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提升公路环境指标，预期指标是有效提升，实际完成值是有效提升，指标完成率是100%，实现部门绩效长效机制建设，提高工作效率目标。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可持续影响指标共计1个，完成1个，达到预期目标，可持续影响指标完成。</w:t>
      </w:r>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（三）满意度指标完成情况分析</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受益群众满意度指标，预期指标是大于等于98%，实际完成值是99%，指标完成率是100%，达到部门（单位）服务对象对部门履职效果的满意度。</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受益职工满意度指标，预期指标是大于等于98%，实际完成值是98%，指标完成率是100%，达到部门（单位）服务对象对部门履职效果的满意度。</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满意度指标共计2个，完成2个，达到部门（单位）服务对象对部门履职效果的满意度，服务对象满意度指标完成。</w:t>
      </w:r>
    </w:p>
    <w:p>
      <w:pPr>
        <w:pStyle w:val="12"/>
        <w:numPr>
          <w:ilvl w:val="0"/>
          <w:numId w:val="3"/>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6" w:name="_Toc22800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存在的主要问题</w:t>
      </w:r>
      <w:bookmarkEnd w:id="6"/>
    </w:p>
    <w:p>
      <w:pPr>
        <w:snapToGrid w:val="0"/>
        <w:spacing w:line="540" w:lineRule="exact"/>
        <w:ind w:firstLine="624" w:firstLineChars="2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部分业务人员绩效管理意识有待增强，未能全面深入认识理解绩效管理工作的意义。绩效管理经验不足，预算绩效管理工作有待进一步落实。</w:t>
      </w:r>
    </w:p>
    <w:p>
      <w:pPr>
        <w:snapToGrid w:val="0"/>
        <w:spacing w:line="540" w:lineRule="exact"/>
        <w:ind w:firstLine="624" w:firstLineChars="200"/>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绩效指标的明确性、可衡量性、相关性还需进一步提升。预算精细化管理还需完善，预算编制管理水平仍有进一步提升的空间。</w:t>
      </w:r>
    </w:p>
    <w:p>
      <w:pPr>
        <w:pStyle w:val="12"/>
        <w:numPr>
          <w:ilvl w:val="0"/>
          <w:numId w:val="3"/>
        </w:numPr>
        <w:snapToGrid w:val="0"/>
        <w:spacing w:line="540" w:lineRule="exact"/>
        <w:ind w:firstLineChars="0"/>
        <w:outlineLvl w:val="0"/>
        <w:rPr>
          <w:rStyle w:val="9"/>
          <w:rFonts w:ascii="仿宋_GB2312" w:hAnsi="仿宋_GB2312" w:eastAsia="仿宋_GB2312" w:cs="仿宋_GB2312"/>
          <w:color w:val="000000" w:themeColor="text1"/>
          <w:spacing w:val="-4"/>
          <w:sz w:val="32"/>
          <w:szCs w:val="32"/>
          <w14:textFill>
            <w14:solidFill>
              <w14:schemeClr w14:val="tx1"/>
            </w14:solidFill>
          </w14:textFill>
        </w:rPr>
      </w:pPr>
      <w:bookmarkStart w:id="7" w:name="_Toc29546_WPSOffice_Level1"/>
      <w:r>
        <w:rPr>
          <w:rStyle w:val="9"/>
          <w:rFonts w:hint="eastAsia" w:ascii="仿宋_GB2312" w:hAnsi="仿宋_GB2312" w:eastAsia="仿宋_GB2312" w:cs="仿宋_GB2312"/>
          <w:color w:val="000000" w:themeColor="text1"/>
          <w:spacing w:val="-4"/>
          <w:sz w:val="32"/>
          <w:szCs w:val="32"/>
          <w14:textFill>
            <w14:solidFill>
              <w14:schemeClr w14:val="tx1"/>
            </w14:solidFill>
          </w14:textFill>
        </w:rPr>
        <w:t>改进措施和建议</w:t>
      </w:r>
      <w:bookmarkEnd w:id="7"/>
    </w:p>
    <w:p>
      <w:pPr>
        <w:pStyle w:val="12"/>
        <w:snapToGrid w:val="0"/>
        <w:spacing w:line="540" w:lineRule="exact"/>
        <w:ind w:firstLine="627"/>
        <w:outlineLvl w:val="1"/>
        <w:rPr>
          <w:rStyle w:val="9"/>
          <w:rFonts w:ascii="仿宋_GB2312" w:hAnsi="仿宋_GB2312" w:eastAsia="仿宋_GB2312" w:cs="仿宋_GB2312"/>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（一）改进措施</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加大绩效工作宣传力度，强化绩效理念。</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完善绩效指标，提高整体绩效目标质量。提升预算精细化管理水平。</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继续完善预算绩效管理相关工作制度，建立全过程预算绩效管理链条，有效贯彻落实全面实施绩效管理的精神。</w:t>
      </w:r>
    </w:p>
    <w:p>
      <w:pPr>
        <w:pStyle w:val="12"/>
        <w:snapToGrid w:val="0"/>
        <w:spacing w:line="540" w:lineRule="exact"/>
        <w:ind w:firstLine="624"/>
        <w:outlineLvl w:val="1"/>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9"/>
          <w:rFonts w:hint="eastAsia" w:ascii="仿宋_GB2312" w:hAnsi="仿宋_GB2312" w:eastAsia="仿宋_GB2312" w:cs="仿宋_GB2312"/>
          <w:color w:val="000000" w:themeColor="text1"/>
          <w:spacing w:val="-4"/>
          <w:sz w:val="32"/>
          <w:szCs w:val="32"/>
          <w14:textFill>
            <w14:solidFill>
              <w14:schemeClr w14:val="tx1"/>
            </w14:solidFill>
          </w14:textFill>
        </w:rPr>
        <w:t>二）建议</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加强预算绩效目标管理工作。明确预算项目绩效目标编制要求，分类别建立科学合理、细化量化、可比可测预算绩效指标体系，突出结果导向，重点考核实绩。</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借助第三方专业机构力量，贯彻落实全面预算绩效管理工作，建立全过程预算绩效管理链条，将绩效各个环节紧密贯通。</w:t>
      </w:r>
    </w:p>
    <w:p>
      <w:pPr>
        <w:snapToGrid w:val="0"/>
        <w:spacing w:line="540" w:lineRule="exact"/>
        <w:rPr>
          <w:rStyle w:val="9"/>
          <w:rFonts w:ascii="仿宋_GB2312" w:hAnsi="仿宋_GB2312" w:eastAsia="仿宋_GB2312" w:cs="仿宋_GB2312"/>
          <w:b w:val="0"/>
          <w:color w:val="000000" w:themeColor="text1"/>
          <w:spacing w:val="-4"/>
          <w:sz w:val="32"/>
          <w:szCs w:val="32"/>
          <w14:textFill>
            <w14:solidFill>
              <w14:schemeClr w14:val="tx1"/>
            </w14:solidFill>
          </w14:textFill>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3478072"/>
    <w:multiLevelType w:val="singleLevel"/>
    <w:tmpl w:val="63478072"/>
    <w:lvl w:ilvl="0" w:tentative="0">
      <w:start w:val="3"/>
      <w:numFmt w:val="chineseCounting"/>
      <w:suff w:val="nothing"/>
      <w:lvlText w:val="（%1）"/>
      <w:lvlJc w:val="left"/>
      <w:rPr>
        <w:rFonts w:hint="eastAsia"/>
      </w:rPr>
    </w:lvl>
  </w:abstractNum>
  <w:abstractNum w:abstractNumId="2">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10838"/>
    <w:rsid w:val="000749E3"/>
    <w:rsid w:val="000C4E29"/>
    <w:rsid w:val="000D3AFA"/>
    <w:rsid w:val="000E1B81"/>
    <w:rsid w:val="000E314B"/>
    <w:rsid w:val="0012092B"/>
    <w:rsid w:val="00141421"/>
    <w:rsid w:val="00191BA3"/>
    <w:rsid w:val="001C1E1D"/>
    <w:rsid w:val="001D7F79"/>
    <w:rsid w:val="001E750D"/>
    <w:rsid w:val="0022744B"/>
    <w:rsid w:val="00234372"/>
    <w:rsid w:val="00292A50"/>
    <w:rsid w:val="002939FF"/>
    <w:rsid w:val="002F7CCD"/>
    <w:rsid w:val="003F0DB2"/>
    <w:rsid w:val="00402C11"/>
    <w:rsid w:val="00424A01"/>
    <w:rsid w:val="00491D09"/>
    <w:rsid w:val="004E1483"/>
    <w:rsid w:val="0054132C"/>
    <w:rsid w:val="005519D7"/>
    <w:rsid w:val="00580BAA"/>
    <w:rsid w:val="00590FAD"/>
    <w:rsid w:val="005B1250"/>
    <w:rsid w:val="006258B7"/>
    <w:rsid w:val="00633862"/>
    <w:rsid w:val="006B4CDA"/>
    <w:rsid w:val="006C5BED"/>
    <w:rsid w:val="006C5D3A"/>
    <w:rsid w:val="006D4FCD"/>
    <w:rsid w:val="006E5B50"/>
    <w:rsid w:val="006F7865"/>
    <w:rsid w:val="00702D4A"/>
    <w:rsid w:val="007115C8"/>
    <w:rsid w:val="00722C79"/>
    <w:rsid w:val="00724F4D"/>
    <w:rsid w:val="007925C0"/>
    <w:rsid w:val="007D6A0D"/>
    <w:rsid w:val="007E7E99"/>
    <w:rsid w:val="00802CD4"/>
    <w:rsid w:val="00825D99"/>
    <w:rsid w:val="0089387B"/>
    <w:rsid w:val="008E7E52"/>
    <w:rsid w:val="009224FE"/>
    <w:rsid w:val="009304D8"/>
    <w:rsid w:val="0093778D"/>
    <w:rsid w:val="0097614B"/>
    <w:rsid w:val="0099431C"/>
    <w:rsid w:val="00997ADE"/>
    <w:rsid w:val="009C7BBC"/>
    <w:rsid w:val="009F5A38"/>
    <w:rsid w:val="00A97F62"/>
    <w:rsid w:val="00AA5126"/>
    <w:rsid w:val="00AD16CD"/>
    <w:rsid w:val="00B23A61"/>
    <w:rsid w:val="00B3779A"/>
    <w:rsid w:val="00B5590F"/>
    <w:rsid w:val="00B86B60"/>
    <w:rsid w:val="00BA13C5"/>
    <w:rsid w:val="00BD7AB3"/>
    <w:rsid w:val="00BF62C2"/>
    <w:rsid w:val="00C532B7"/>
    <w:rsid w:val="00C77007"/>
    <w:rsid w:val="00CD2F35"/>
    <w:rsid w:val="00CD5A03"/>
    <w:rsid w:val="00D02DF9"/>
    <w:rsid w:val="00D82401"/>
    <w:rsid w:val="00D9126A"/>
    <w:rsid w:val="00D93262"/>
    <w:rsid w:val="00D96076"/>
    <w:rsid w:val="00DB1085"/>
    <w:rsid w:val="00E13486"/>
    <w:rsid w:val="00E71EE9"/>
    <w:rsid w:val="00EB1FFE"/>
    <w:rsid w:val="00F326C7"/>
    <w:rsid w:val="00F84215"/>
    <w:rsid w:val="00FF2ACD"/>
    <w:rsid w:val="012008EE"/>
    <w:rsid w:val="01577E62"/>
    <w:rsid w:val="01CC583F"/>
    <w:rsid w:val="023615AF"/>
    <w:rsid w:val="03C758F5"/>
    <w:rsid w:val="03F70F17"/>
    <w:rsid w:val="04E84DE3"/>
    <w:rsid w:val="04FF0482"/>
    <w:rsid w:val="05062887"/>
    <w:rsid w:val="05F70F85"/>
    <w:rsid w:val="063876A4"/>
    <w:rsid w:val="0694195F"/>
    <w:rsid w:val="06BC6527"/>
    <w:rsid w:val="080421B6"/>
    <w:rsid w:val="084208C4"/>
    <w:rsid w:val="086A3084"/>
    <w:rsid w:val="08EC051C"/>
    <w:rsid w:val="098A3C0A"/>
    <w:rsid w:val="09BD2A17"/>
    <w:rsid w:val="0A9A7091"/>
    <w:rsid w:val="0AEE08A8"/>
    <w:rsid w:val="0B444D3D"/>
    <w:rsid w:val="0B4D3BF1"/>
    <w:rsid w:val="0C05627A"/>
    <w:rsid w:val="0D491E0B"/>
    <w:rsid w:val="0EE85F2E"/>
    <w:rsid w:val="0FE410BD"/>
    <w:rsid w:val="101A5C15"/>
    <w:rsid w:val="1021389E"/>
    <w:rsid w:val="10FE60D7"/>
    <w:rsid w:val="124E024F"/>
    <w:rsid w:val="14676D79"/>
    <w:rsid w:val="14F96B98"/>
    <w:rsid w:val="15794E96"/>
    <w:rsid w:val="15EC04AB"/>
    <w:rsid w:val="175D58E3"/>
    <w:rsid w:val="17CF598E"/>
    <w:rsid w:val="18061B60"/>
    <w:rsid w:val="18CE5C46"/>
    <w:rsid w:val="190C3DF8"/>
    <w:rsid w:val="1996739E"/>
    <w:rsid w:val="19F14713"/>
    <w:rsid w:val="19F83E30"/>
    <w:rsid w:val="1A954C6D"/>
    <w:rsid w:val="1B403139"/>
    <w:rsid w:val="1C6D319F"/>
    <w:rsid w:val="1C70743A"/>
    <w:rsid w:val="1D102CD1"/>
    <w:rsid w:val="1D4D74D6"/>
    <w:rsid w:val="1D8E489A"/>
    <w:rsid w:val="1DE32CFD"/>
    <w:rsid w:val="1F176861"/>
    <w:rsid w:val="1F1A602A"/>
    <w:rsid w:val="1F2854B6"/>
    <w:rsid w:val="1F572E39"/>
    <w:rsid w:val="202778EA"/>
    <w:rsid w:val="20BE1D27"/>
    <w:rsid w:val="21312171"/>
    <w:rsid w:val="218617B3"/>
    <w:rsid w:val="21920158"/>
    <w:rsid w:val="21C768CD"/>
    <w:rsid w:val="22032F8D"/>
    <w:rsid w:val="22776641"/>
    <w:rsid w:val="22E14253"/>
    <w:rsid w:val="22E5075C"/>
    <w:rsid w:val="23F209A3"/>
    <w:rsid w:val="2403516E"/>
    <w:rsid w:val="24CB3E93"/>
    <w:rsid w:val="254C103E"/>
    <w:rsid w:val="256A2A9E"/>
    <w:rsid w:val="26633E71"/>
    <w:rsid w:val="26A526DC"/>
    <w:rsid w:val="2805537E"/>
    <w:rsid w:val="289437EE"/>
    <w:rsid w:val="28A55EB1"/>
    <w:rsid w:val="29051210"/>
    <w:rsid w:val="2A465F84"/>
    <w:rsid w:val="2AC51A11"/>
    <w:rsid w:val="2BE912BD"/>
    <w:rsid w:val="2CF0702C"/>
    <w:rsid w:val="2D870D8D"/>
    <w:rsid w:val="2E5510C5"/>
    <w:rsid w:val="2EBF757D"/>
    <w:rsid w:val="306B6744"/>
    <w:rsid w:val="3106025F"/>
    <w:rsid w:val="31B83F5F"/>
    <w:rsid w:val="3278012B"/>
    <w:rsid w:val="328E2AB6"/>
    <w:rsid w:val="329B12EA"/>
    <w:rsid w:val="329F26D5"/>
    <w:rsid w:val="33A31D51"/>
    <w:rsid w:val="33A83F87"/>
    <w:rsid w:val="34570B48"/>
    <w:rsid w:val="345955FD"/>
    <w:rsid w:val="346B7ADF"/>
    <w:rsid w:val="34A80C37"/>
    <w:rsid w:val="355C2B3F"/>
    <w:rsid w:val="35F12468"/>
    <w:rsid w:val="36851B5C"/>
    <w:rsid w:val="37D360CA"/>
    <w:rsid w:val="388C029B"/>
    <w:rsid w:val="38CB5066"/>
    <w:rsid w:val="38D806EF"/>
    <w:rsid w:val="392B7D13"/>
    <w:rsid w:val="3A632E5C"/>
    <w:rsid w:val="3AC92DAC"/>
    <w:rsid w:val="3B0F23C2"/>
    <w:rsid w:val="3BF515B8"/>
    <w:rsid w:val="3CC571DC"/>
    <w:rsid w:val="3D4C712F"/>
    <w:rsid w:val="3D585316"/>
    <w:rsid w:val="3D6A7D83"/>
    <w:rsid w:val="3EA572C5"/>
    <w:rsid w:val="3EAA48DB"/>
    <w:rsid w:val="3F301058"/>
    <w:rsid w:val="3F8E7D59"/>
    <w:rsid w:val="409D0CC2"/>
    <w:rsid w:val="417A34F9"/>
    <w:rsid w:val="417C1E33"/>
    <w:rsid w:val="418810F4"/>
    <w:rsid w:val="41A37673"/>
    <w:rsid w:val="42C30950"/>
    <w:rsid w:val="43317379"/>
    <w:rsid w:val="4352109E"/>
    <w:rsid w:val="43D1290A"/>
    <w:rsid w:val="44925349"/>
    <w:rsid w:val="45A65C7F"/>
    <w:rsid w:val="45B7168C"/>
    <w:rsid w:val="460C7C2A"/>
    <w:rsid w:val="46722D3D"/>
    <w:rsid w:val="468C2A4A"/>
    <w:rsid w:val="46AD2493"/>
    <w:rsid w:val="46EC7F14"/>
    <w:rsid w:val="48094698"/>
    <w:rsid w:val="4851401A"/>
    <w:rsid w:val="48883AFA"/>
    <w:rsid w:val="48AF4C7F"/>
    <w:rsid w:val="497F6965"/>
    <w:rsid w:val="49B06B1E"/>
    <w:rsid w:val="4A81677A"/>
    <w:rsid w:val="4B7705C0"/>
    <w:rsid w:val="4DA177B2"/>
    <w:rsid w:val="4DC96400"/>
    <w:rsid w:val="4DEC5D39"/>
    <w:rsid w:val="4DF36D4F"/>
    <w:rsid w:val="4EDB5EF6"/>
    <w:rsid w:val="4F477F24"/>
    <w:rsid w:val="4FBA06F6"/>
    <w:rsid w:val="50047BC4"/>
    <w:rsid w:val="501B7C76"/>
    <w:rsid w:val="504D5CCF"/>
    <w:rsid w:val="5095081C"/>
    <w:rsid w:val="512978E2"/>
    <w:rsid w:val="533A7469"/>
    <w:rsid w:val="53526129"/>
    <w:rsid w:val="536F35A6"/>
    <w:rsid w:val="54CB6F02"/>
    <w:rsid w:val="54DB173D"/>
    <w:rsid w:val="565F2550"/>
    <w:rsid w:val="565F61A9"/>
    <w:rsid w:val="57232FC4"/>
    <w:rsid w:val="572D2326"/>
    <w:rsid w:val="57365691"/>
    <w:rsid w:val="59EE1E48"/>
    <w:rsid w:val="59FE3DFC"/>
    <w:rsid w:val="5A490F5C"/>
    <w:rsid w:val="5BD21464"/>
    <w:rsid w:val="5BDE2B83"/>
    <w:rsid w:val="5E5B12F6"/>
    <w:rsid w:val="5E7423B8"/>
    <w:rsid w:val="5F4955F3"/>
    <w:rsid w:val="5FE96097"/>
    <w:rsid w:val="610F0176"/>
    <w:rsid w:val="61635F72"/>
    <w:rsid w:val="617C3A5E"/>
    <w:rsid w:val="618606C5"/>
    <w:rsid w:val="62A16B24"/>
    <w:rsid w:val="63E114D3"/>
    <w:rsid w:val="64F61D79"/>
    <w:rsid w:val="66551204"/>
    <w:rsid w:val="66AD290B"/>
    <w:rsid w:val="66EC6F90"/>
    <w:rsid w:val="67694A84"/>
    <w:rsid w:val="67D87514"/>
    <w:rsid w:val="68831B76"/>
    <w:rsid w:val="699A0434"/>
    <w:rsid w:val="6A0B0D54"/>
    <w:rsid w:val="6AD46D46"/>
    <w:rsid w:val="6C1256EA"/>
    <w:rsid w:val="6DE07909"/>
    <w:rsid w:val="6E142577"/>
    <w:rsid w:val="6E58438A"/>
    <w:rsid w:val="6E9D5508"/>
    <w:rsid w:val="6FA3087E"/>
    <w:rsid w:val="6FA63E0E"/>
    <w:rsid w:val="71EB22B3"/>
    <w:rsid w:val="72010FA6"/>
    <w:rsid w:val="73131D48"/>
    <w:rsid w:val="73A330CC"/>
    <w:rsid w:val="748A4F72"/>
    <w:rsid w:val="75053AEC"/>
    <w:rsid w:val="75664078"/>
    <w:rsid w:val="75F31625"/>
    <w:rsid w:val="761E4132"/>
    <w:rsid w:val="76C36977"/>
    <w:rsid w:val="77F22E94"/>
    <w:rsid w:val="78061A79"/>
    <w:rsid w:val="78C72B0F"/>
    <w:rsid w:val="79DF2F40"/>
    <w:rsid w:val="7B1E3C70"/>
    <w:rsid w:val="7BC003CA"/>
    <w:rsid w:val="7C1C7EBF"/>
    <w:rsid w:val="7C5E3F65"/>
    <w:rsid w:val="7CBF4BB4"/>
    <w:rsid w:val="7E213EB8"/>
    <w:rsid w:val="7E5D346D"/>
    <w:rsid w:val="7ED56104"/>
    <w:rsid w:val="7F453289"/>
    <w:rsid w:val="7F475253"/>
    <w:rsid w:val="7F51372E"/>
    <w:rsid w:val="7F9B5688"/>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2"/>
    <w:basedOn w:val="1"/>
    <w:next w:val="1"/>
    <w:unhideWhenUsed/>
    <w:qFormat/>
    <w:uiPriority w:val="0"/>
    <w:pPr>
      <w:keepNext/>
      <w:keepLines/>
      <w:outlineLvl w:val="1"/>
    </w:pPr>
    <w:rPr>
      <w:rFonts w:ascii="Arial" w:hAnsi="Arial" w:eastAsia="楷体"/>
      <w:b/>
      <w:sz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5">
    <w:name w:val="annotation text"/>
    <w:basedOn w:val="1"/>
    <w:unhideWhenUsed/>
    <w:qFormat/>
    <w:uiPriority w:val="99"/>
    <w:pPr>
      <w:jc w:val="left"/>
    </w:p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列表段落1"/>
    <w:basedOn w:val="1"/>
    <w:unhideWhenUsed/>
    <w:qFormat/>
    <w:uiPriority w:val="99"/>
    <w:pPr>
      <w:ind w:firstLine="420" w:firstLineChars="200"/>
    </w:pPr>
  </w:style>
  <w:style w:type="character" w:customStyle="1" w:styleId="13">
    <w:name w:val="页脚 字符"/>
    <w:basedOn w:val="8"/>
    <w:link w:val="6"/>
    <w:qFormat/>
    <w:uiPriority w:val="99"/>
    <w:rPr>
      <w:sz w:val="18"/>
      <w:szCs w:val="18"/>
    </w:rPr>
  </w:style>
  <w:style w:type="character" w:customStyle="1" w:styleId="14">
    <w:name w:val="页眉 字符"/>
    <w:basedOn w:val="8"/>
    <w:link w:val="7"/>
    <w:qFormat/>
    <w:uiPriority w:val="99"/>
    <w:rPr>
      <w:sz w:val="18"/>
      <w:szCs w:val="18"/>
    </w:rPr>
  </w:style>
  <w:style w:type="paragraph" w:customStyle="1" w:styleId="15">
    <w:name w:val="WPSOffice手动目录 1"/>
    <w:qFormat/>
    <w:uiPriority w:val="0"/>
    <w:rPr>
      <w:rFonts w:asciiTheme="minorHAnsi" w:hAnsiTheme="minorHAnsi" w:eastAsiaTheme="minorEastAsia" w:cstheme="minorBidi"/>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列表段落1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17</Pages>
  <Words>1213</Words>
  <Characters>6918</Characters>
  <Lines>57</Lines>
  <Paragraphs>16</Paragraphs>
  <TotalTime>154</TotalTime>
  <ScaleCrop>false</ScaleCrop>
  <LinksUpToDate>false</LinksUpToDate>
  <CharactersWithSpaces>8115</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Administrator</cp:lastModifiedBy>
  <dcterms:modified xsi:type="dcterms:W3CDTF">2023-11-21T02:16:58Z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F660CCEF2EEF4B33B354BA159702D299</vt:lpwstr>
  </property>
</Properties>
</file>